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6394" w14:textId="38F44815" w:rsidR="00D00189" w:rsidRPr="00D00189" w:rsidRDefault="00C073E7" w:rsidP="00D00189">
      <w:pPr>
        <w:rPr>
          <w:rFonts w:cstheme="minorHAnsi"/>
          <w:sz w:val="22"/>
          <w:szCs w:val="22"/>
          <w:lang w:val="hr-HR"/>
        </w:rPr>
      </w:pPr>
      <w:r w:rsidRPr="00D64498">
        <w:rPr>
          <w:rFonts w:cstheme="minorHAnsi"/>
          <w:lang w:val="hr-HR"/>
        </w:rPr>
        <w:t xml:space="preserve">Obavijesti i upute kandidatima/kandidatkinjama na raspisani </w:t>
      </w:r>
      <w:r w:rsidR="005A4B9F" w:rsidRPr="00D64498">
        <w:rPr>
          <w:rFonts w:cstheme="minorHAnsi"/>
          <w:lang w:val="hr-HR"/>
        </w:rPr>
        <w:t xml:space="preserve"> </w:t>
      </w:r>
      <w:r w:rsidR="00246BED">
        <w:rPr>
          <w:rFonts w:cstheme="minorHAnsi"/>
          <w:lang w:val="hr-HR"/>
        </w:rPr>
        <w:t xml:space="preserve">Javni </w:t>
      </w:r>
      <w:r w:rsidR="00246BED" w:rsidRPr="008C2496">
        <w:rPr>
          <w:rFonts w:cstheme="minorHAnsi"/>
          <w:lang w:val="hr-HR"/>
        </w:rPr>
        <w:t>natječaj</w:t>
      </w:r>
      <w:r w:rsidRPr="008C2496">
        <w:rPr>
          <w:rFonts w:cstheme="minorHAnsi"/>
          <w:lang w:val="hr-HR"/>
        </w:rPr>
        <w:t xml:space="preserve"> </w:t>
      </w:r>
      <w:r w:rsidR="008C2496" w:rsidRPr="008C2496">
        <w:rPr>
          <w:rFonts w:cstheme="minorHAnsi"/>
          <w:sz w:val="22"/>
          <w:szCs w:val="22"/>
          <w:lang w:val="hr-HR"/>
        </w:rPr>
        <w:t xml:space="preserve">za prijam u službu u Grad Skradin, Upravni odjel za financije, imovinsko-pravne poslove i društvene djelatnosti, na radno </w:t>
      </w:r>
      <w:r w:rsidR="008C2496" w:rsidRPr="00D00189">
        <w:rPr>
          <w:rFonts w:cstheme="minorHAnsi"/>
          <w:sz w:val="22"/>
          <w:szCs w:val="22"/>
          <w:lang w:val="hr-HR"/>
        </w:rPr>
        <w:t xml:space="preserve">mjesto </w:t>
      </w:r>
      <w:r w:rsidR="00D00189" w:rsidRPr="00D00189">
        <w:rPr>
          <w:rFonts w:cstheme="minorHAnsi"/>
          <w:b/>
          <w:sz w:val="22"/>
          <w:szCs w:val="22"/>
          <w:lang w:val="hr-HR"/>
        </w:rPr>
        <w:t xml:space="preserve">Viši stručni suradnik za financijske i računovodstvene poslove </w:t>
      </w:r>
      <w:r w:rsidR="00D00189" w:rsidRPr="00D00189">
        <w:rPr>
          <w:rFonts w:cstheme="minorHAnsi"/>
          <w:sz w:val="22"/>
          <w:szCs w:val="22"/>
        </w:rPr>
        <w:t xml:space="preserve"> </w:t>
      </w:r>
      <w:r w:rsidR="00D00189" w:rsidRPr="00D00189">
        <w:rPr>
          <w:rFonts w:cstheme="minorHAnsi"/>
          <w:sz w:val="22"/>
          <w:szCs w:val="22"/>
          <w:lang w:val="hr-HR"/>
        </w:rPr>
        <w:t>(1 izvršitelj/ica), na neodređeno vrijeme s punim radnim vremenom.</w:t>
      </w:r>
    </w:p>
    <w:p w14:paraId="534797EA" w14:textId="77777777" w:rsidR="00930237" w:rsidRDefault="00930237" w:rsidP="002A2C8C">
      <w:pPr>
        <w:rPr>
          <w:rFonts w:cstheme="minorHAnsi"/>
          <w:lang w:val="hr-HR"/>
        </w:rPr>
      </w:pPr>
    </w:p>
    <w:p w14:paraId="217AFFFE" w14:textId="0E2BF8AD" w:rsidR="002A2C8C" w:rsidRDefault="002A2C8C" w:rsidP="002A2C8C">
      <w:pPr>
        <w:rPr>
          <w:rFonts w:cstheme="minorHAnsi"/>
        </w:rPr>
      </w:pPr>
      <w:r w:rsidRPr="002A2C8C">
        <w:rPr>
          <w:rFonts w:cstheme="minorHAnsi"/>
          <w:lang w:val="hr-HR"/>
        </w:rPr>
        <w:t xml:space="preserve">Prijave na </w:t>
      </w:r>
      <w:r w:rsidR="008C2496">
        <w:rPr>
          <w:rFonts w:cstheme="minorHAnsi"/>
          <w:lang w:val="hr-HR"/>
        </w:rPr>
        <w:t>Javni natječaj</w:t>
      </w:r>
      <w:r w:rsidRPr="002A2C8C">
        <w:rPr>
          <w:rFonts w:cstheme="minorHAnsi"/>
          <w:lang w:val="hr-HR"/>
        </w:rPr>
        <w:t xml:space="preserve">  podnose se  </w:t>
      </w:r>
      <w:r w:rsidRPr="002A2C8C">
        <w:rPr>
          <w:rFonts w:cstheme="minorHAnsi"/>
        </w:rPr>
        <w:t xml:space="preserve">u roku </w:t>
      </w:r>
      <w:r w:rsidRPr="002A2C8C">
        <w:rPr>
          <w:rFonts w:cstheme="minorHAnsi"/>
          <w:b/>
          <w:bCs/>
        </w:rPr>
        <w:t>8</w:t>
      </w:r>
      <w:r w:rsidRPr="002A2C8C">
        <w:rPr>
          <w:rFonts w:cstheme="minorHAnsi"/>
          <w:b/>
        </w:rPr>
        <w:t xml:space="preserve"> dana</w:t>
      </w:r>
      <w:r w:rsidRPr="002A2C8C">
        <w:rPr>
          <w:rFonts w:cstheme="minorHAnsi"/>
        </w:rPr>
        <w:t xml:space="preserve"> od dana objave </w:t>
      </w:r>
      <w:r w:rsidR="008C2496">
        <w:rPr>
          <w:rFonts w:cstheme="minorHAnsi"/>
        </w:rPr>
        <w:t xml:space="preserve"> u “Narodnim novinama”</w:t>
      </w:r>
      <w:r w:rsidRPr="002A2C8C">
        <w:rPr>
          <w:rFonts w:cstheme="minorHAnsi"/>
        </w:rPr>
        <w:t xml:space="preserve"> </w:t>
      </w:r>
    </w:p>
    <w:p w14:paraId="47EFCFC7" w14:textId="5602D158" w:rsidR="00D00189" w:rsidRDefault="00D00189" w:rsidP="002A2C8C">
      <w:pPr>
        <w:rPr>
          <w:rFonts w:cstheme="minorHAnsi"/>
        </w:rPr>
      </w:pPr>
    </w:p>
    <w:p w14:paraId="452604D2" w14:textId="77777777" w:rsidR="00D00189" w:rsidRPr="002A2C8C" w:rsidRDefault="00D00189" w:rsidP="002A2C8C">
      <w:pPr>
        <w:rPr>
          <w:rFonts w:cstheme="minorHAnsi"/>
        </w:rPr>
      </w:pPr>
    </w:p>
    <w:p w14:paraId="27D3ABDA" w14:textId="6DC8472B" w:rsidR="00930237" w:rsidRPr="00D00189" w:rsidRDefault="00930237" w:rsidP="00D00189">
      <w:pPr>
        <w:pStyle w:val="Odlomakpopisa"/>
        <w:numPr>
          <w:ilvl w:val="0"/>
          <w:numId w:val="12"/>
        </w:numPr>
        <w:jc w:val="both"/>
        <w:rPr>
          <w:rFonts w:cstheme="minorHAnsi"/>
          <w:b/>
          <w:lang w:val="hr-HR"/>
        </w:rPr>
      </w:pPr>
      <w:bookmarkStart w:id="0" w:name="_Hlk504033706"/>
      <w:bookmarkStart w:id="1" w:name="_Hlk530398230"/>
      <w:r w:rsidRPr="00D00189">
        <w:rPr>
          <w:rFonts w:cstheme="minorHAnsi"/>
          <w:b/>
          <w:lang w:val="hr-HR"/>
        </w:rPr>
        <w:t>PODACI O RADNOM MJESTU:</w:t>
      </w:r>
    </w:p>
    <w:p w14:paraId="7E7487DC" w14:textId="77777777" w:rsidR="00930237" w:rsidRPr="00930237" w:rsidRDefault="00930237" w:rsidP="00930237">
      <w:pPr>
        <w:pStyle w:val="Odlomakpopisa"/>
        <w:ind w:left="1080"/>
        <w:jc w:val="both"/>
        <w:rPr>
          <w:rFonts w:cstheme="minorHAnsi"/>
          <w:lang w:val="hr-HR"/>
        </w:rPr>
      </w:pPr>
    </w:p>
    <w:p w14:paraId="5B7D68B2" w14:textId="09FDBE6F" w:rsidR="00D00189" w:rsidRPr="00D00189" w:rsidRDefault="00D00189" w:rsidP="00D00189">
      <w:pPr>
        <w:pStyle w:val="Odlomakpopisa"/>
        <w:numPr>
          <w:ilvl w:val="0"/>
          <w:numId w:val="13"/>
        </w:numPr>
        <w:rPr>
          <w:rFonts w:cstheme="minorHAnsi"/>
          <w:sz w:val="22"/>
          <w:szCs w:val="22"/>
          <w:lang w:val="hr-HR"/>
        </w:rPr>
      </w:pPr>
      <w:r w:rsidRPr="00D00189">
        <w:rPr>
          <w:rFonts w:cstheme="minorHAnsi"/>
          <w:b/>
          <w:sz w:val="22"/>
          <w:szCs w:val="22"/>
          <w:lang w:val="hr-HR"/>
        </w:rPr>
        <w:t xml:space="preserve">Viši stručni suradnik za financijske i računovodstvene poslove </w:t>
      </w:r>
      <w:r w:rsidRPr="00D00189">
        <w:rPr>
          <w:rFonts w:cstheme="minorHAnsi"/>
          <w:sz w:val="22"/>
          <w:szCs w:val="22"/>
        </w:rPr>
        <w:t xml:space="preserve"> </w:t>
      </w:r>
      <w:r w:rsidRPr="00D00189">
        <w:rPr>
          <w:rFonts w:cstheme="minorHAnsi"/>
          <w:sz w:val="22"/>
          <w:szCs w:val="22"/>
          <w:lang w:val="hr-HR"/>
        </w:rPr>
        <w:t>(1 izvršitelj/ica), na neodređeno vrijeme s punim radnim vremenom.</w:t>
      </w:r>
    </w:p>
    <w:p w14:paraId="54CF7633" w14:textId="66714AD8" w:rsidR="00930237" w:rsidRDefault="00930237" w:rsidP="00930237">
      <w:pPr>
        <w:rPr>
          <w:rFonts w:cstheme="minorHAnsi"/>
          <w:sz w:val="22"/>
          <w:szCs w:val="22"/>
          <w:lang w:val="hr-HR"/>
        </w:rPr>
      </w:pPr>
    </w:p>
    <w:p w14:paraId="71389286" w14:textId="77777777" w:rsidR="00D00189" w:rsidRPr="00D00189" w:rsidRDefault="00D00189" w:rsidP="00D00189">
      <w:pPr>
        <w:pStyle w:val="Bezproreda"/>
        <w:rPr>
          <w:rFonts w:cstheme="minorHAnsi"/>
          <w:bCs/>
          <w:sz w:val="22"/>
          <w:szCs w:val="22"/>
          <w:lang w:val="hr-HR"/>
        </w:rPr>
      </w:pPr>
      <w:r w:rsidRPr="00D00189">
        <w:rPr>
          <w:rFonts w:cstheme="minorHAnsi"/>
          <w:b/>
          <w:sz w:val="22"/>
          <w:szCs w:val="22"/>
          <w:lang w:val="hr-HR"/>
        </w:rPr>
        <w:t>Opis poslova:</w:t>
      </w:r>
      <w:r w:rsidRPr="00D00189">
        <w:rPr>
          <w:rFonts w:cstheme="minorHAnsi"/>
          <w:sz w:val="22"/>
          <w:szCs w:val="22"/>
          <w:lang w:val="hr-HR"/>
        </w:rPr>
        <w:t xml:space="preserve"> </w:t>
      </w:r>
      <w:r w:rsidRPr="00D00189">
        <w:rPr>
          <w:rFonts w:cstheme="minorHAnsi"/>
          <w:bCs/>
          <w:sz w:val="22"/>
          <w:szCs w:val="22"/>
          <w:lang w:val="hr-HR"/>
        </w:rPr>
        <w:t xml:space="preserve">vodi upravni postupak i rješava o upravnim stvarima za kojem ima ovlasti na temelju opisa poslova radnog mjesta koje obavlja, obavlja računovodstvene poslove kontiranja, daje naloge za knjiženje računovodstvene evidencije, obavlja sve knjigovodstveno-financijske poslove, kontira i knjiži knjigovodstvene promjene za ustanove kojima je osnivač Grad, usklađuje pomoćne i glavne knjige, evidentira izvršenje planiranih rashoda i prihoda Proračuna prema ekonomskoj, organizacijskoj, programskoj i ostalim klasifikacijama, obavlja i druge poslove na temelju odluka Gradskog vijeća, te po nalogu  pročelnika. </w:t>
      </w:r>
    </w:p>
    <w:p w14:paraId="225A1717" w14:textId="77777777" w:rsidR="00D00189" w:rsidRPr="00D00189" w:rsidRDefault="00D00189" w:rsidP="00D00189">
      <w:pPr>
        <w:rPr>
          <w:rFonts w:cstheme="minorHAnsi"/>
          <w:sz w:val="22"/>
          <w:szCs w:val="22"/>
          <w:lang w:val="hr-HR"/>
        </w:rPr>
      </w:pPr>
    </w:p>
    <w:bookmarkEnd w:id="0"/>
    <w:bookmarkEnd w:id="1"/>
    <w:p w14:paraId="4FCB2E8F" w14:textId="1C0229CF" w:rsidR="00030BCE" w:rsidRPr="00930237" w:rsidRDefault="00030BCE" w:rsidP="00D476DC">
      <w:pPr>
        <w:ind w:firstLine="360"/>
        <w:rPr>
          <w:rFonts w:cstheme="minorHAnsi"/>
          <w:b/>
          <w:lang w:val="hr-HR"/>
        </w:rPr>
      </w:pPr>
    </w:p>
    <w:p w14:paraId="4DB7687E" w14:textId="77777777" w:rsidR="0034240C" w:rsidRPr="00D64498" w:rsidRDefault="00845217" w:rsidP="004A1322">
      <w:pPr>
        <w:pStyle w:val="Odlomakpopisa"/>
        <w:numPr>
          <w:ilvl w:val="0"/>
          <w:numId w:val="12"/>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0330B2D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835 eura</w:t>
      </w:r>
      <w:r w:rsidR="00030BCE" w:rsidRPr="007D710F">
        <w:rPr>
          <w:rFonts w:cstheme="minorHAnsi"/>
          <w:lang w:val="hr-HR"/>
        </w:rPr>
        <w:t xml:space="preserve"> (fiksni tečaj konverzije: 1 euro = 7,53450, što ukupno iznosi 6.291,31 kn)</w:t>
      </w:r>
      <w:r w:rsidR="007D710F" w:rsidRPr="007D710F">
        <w:rPr>
          <w:rFonts w:cstheme="minorHAnsi"/>
          <w:lang w:val="hr-HR"/>
        </w:rPr>
        <w:t xml:space="preserve"> </w:t>
      </w:r>
      <w:r w:rsidRPr="007D710F">
        <w:rPr>
          <w:rFonts w:cstheme="minorHAnsi"/>
          <w:lang w:val="hr-HR"/>
        </w:rPr>
        <w:t>bruto</w:t>
      </w:r>
    </w:p>
    <w:p w14:paraId="3563D310" w14:textId="532F29E0"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192704">
        <w:rPr>
          <w:rFonts w:cstheme="minorHAnsi"/>
          <w:b/>
          <w:bCs/>
          <w:lang w:val="hr-HR"/>
        </w:rPr>
        <w:t>3</w:t>
      </w:r>
      <w:r w:rsidRPr="007D710F">
        <w:rPr>
          <w:rFonts w:cstheme="minorHAnsi"/>
          <w:b/>
          <w:bCs/>
          <w:lang w:val="hr-HR"/>
        </w:rPr>
        <w:t>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20661573"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7D710F">
        <w:rPr>
          <w:rFonts w:cstheme="minorHAnsi"/>
          <w:lang w:val="hr-HR"/>
        </w:rPr>
        <w:t xml:space="preserve"> i 21/22</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koeficijentima za obračun plaće službenik</w:t>
      </w:r>
      <w:r w:rsidR="00C27425">
        <w:rPr>
          <w:rFonts w:cstheme="minorHAnsi"/>
          <w:lang w:val="hr-HR"/>
        </w:rPr>
        <w:t>a</w:t>
      </w:r>
      <w:r w:rsidRPr="00D64498">
        <w:rPr>
          <w:rFonts w:cstheme="minorHAnsi"/>
          <w:lang w:val="hr-HR"/>
        </w:rPr>
        <w:t xml:space="preserve"> i namještenika („Službeni vjesnik </w:t>
      </w:r>
      <w:r w:rsidR="007D710F">
        <w:rPr>
          <w:rFonts w:cstheme="minorHAnsi"/>
          <w:lang w:val="hr-HR"/>
        </w:rPr>
        <w:t>Š</w:t>
      </w:r>
      <w:r w:rsidRPr="00D64498">
        <w:rPr>
          <w:rFonts w:cstheme="minorHAnsi"/>
          <w:lang w:val="hr-HR"/>
        </w:rPr>
        <w:t>ibensko-kninske županije“, broj 17/10</w:t>
      </w:r>
      <w:r w:rsidR="00D00189">
        <w:rPr>
          <w:rFonts w:cstheme="minorHAnsi"/>
          <w:lang w:val="hr-HR"/>
        </w:rPr>
        <w:t>,</w:t>
      </w:r>
      <w:r w:rsidR="00192704">
        <w:rPr>
          <w:rFonts w:cstheme="minorHAnsi"/>
          <w:lang w:val="hr-HR"/>
        </w:rPr>
        <w:t xml:space="preserve"> 2/22</w:t>
      </w:r>
      <w:r w:rsidRPr="00D64498">
        <w:rPr>
          <w:rFonts w:cstheme="minorHAnsi"/>
          <w:lang w:val="hr-HR"/>
        </w:rPr>
        <w:t>).</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4A1322">
      <w:pPr>
        <w:pStyle w:val="Odlomakpopisa"/>
        <w:numPr>
          <w:ilvl w:val="0"/>
          <w:numId w:val="12"/>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1BBB0820" w:rsidR="00DF06D8" w:rsidRDefault="00DF06D8" w:rsidP="00222088">
      <w:pPr>
        <w:jc w:val="both"/>
        <w:rPr>
          <w:rFonts w:cstheme="minorHAnsi"/>
          <w:lang w:val="hr-HR"/>
        </w:rPr>
      </w:pPr>
    </w:p>
    <w:p w14:paraId="71337D94" w14:textId="5F657B51" w:rsidR="004A1322" w:rsidRDefault="004A1322" w:rsidP="00222088">
      <w:pPr>
        <w:jc w:val="both"/>
        <w:rPr>
          <w:rFonts w:cstheme="minorHAnsi"/>
          <w:lang w:val="hr-HR"/>
        </w:rPr>
      </w:pPr>
    </w:p>
    <w:p w14:paraId="5338C9A3" w14:textId="449C4BAE" w:rsidR="004A1322" w:rsidRDefault="004A1322" w:rsidP="00222088">
      <w:pPr>
        <w:jc w:val="both"/>
        <w:rPr>
          <w:rFonts w:cstheme="minorHAnsi"/>
          <w:lang w:val="hr-HR"/>
        </w:rPr>
      </w:pPr>
    </w:p>
    <w:p w14:paraId="3B102768" w14:textId="75C48869" w:rsidR="004A1322" w:rsidRDefault="004A1322" w:rsidP="00222088">
      <w:pPr>
        <w:jc w:val="both"/>
        <w:rPr>
          <w:rFonts w:cstheme="minorHAnsi"/>
          <w:lang w:val="hr-HR"/>
        </w:rPr>
      </w:pPr>
    </w:p>
    <w:p w14:paraId="0FB216DD" w14:textId="3E23D35C" w:rsidR="004A1322" w:rsidRDefault="004A1322" w:rsidP="00222088">
      <w:pPr>
        <w:jc w:val="both"/>
        <w:rPr>
          <w:rFonts w:cstheme="minorHAnsi"/>
          <w:lang w:val="hr-HR"/>
        </w:rPr>
      </w:pPr>
    </w:p>
    <w:p w14:paraId="7F70374D" w14:textId="2433A37B" w:rsidR="004A1322" w:rsidRPr="00D64498" w:rsidRDefault="004A1322" w:rsidP="004A1322">
      <w:pPr>
        <w:jc w:val="center"/>
        <w:rPr>
          <w:rFonts w:cstheme="minorHAnsi"/>
          <w:lang w:val="hr-HR"/>
        </w:rPr>
      </w:pPr>
      <w:r>
        <w:rPr>
          <w:rFonts w:cstheme="minorHAnsi"/>
          <w:lang w:val="hr-HR"/>
        </w:rPr>
        <w:lastRenderedPageBreak/>
        <w:t>-2-</w:t>
      </w: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367EDE97" w14:textId="510278BF" w:rsidR="00D476DC" w:rsidRPr="00192704" w:rsidRDefault="00D476DC" w:rsidP="00192704">
      <w:pPr>
        <w:rPr>
          <w:rFonts w:cstheme="minorHAnsi"/>
          <w:bCs/>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09F979D" w:rsidR="007757CB" w:rsidRDefault="007757CB" w:rsidP="00B0751F">
      <w:pPr>
        <w:jc w:val="both"/>
        <w:rPr>
          <w:rFonts w:cstheme="minorHAnsi"/>
          <w:lang w:val="hr-HR"/>
        </w:rPr>
      </w:pPr>
    </w:p>
    <w:p w14:paraId="358856B3" w14:textId="77777777" w:rsidR="00192704" w:rsidRDefault="00192704" w:rsidP="00B0751F">
      <w:pPr>
        <w:jc w:val="both"/>
        <w:rPr>
          <w:rFonts w:cstheme="minorHAnsi"/>
          <w:lang w:val="hr-HR"/>
        </w:rPr>
      </w:pPr>
    </w:p>
    <w:p w14:paraId="19ACCCD4" w14:textId="153A93E5" w:rsidR="00192704" w:rsidRDefault="00192704" w:rsidP="00B0751F">
      <w:pPr>
        <w:jc w:val="both"/>
        <w:rPr>
          <w:rFonts w:cstheme="minorHAnsi"/>
          <w:lang w:val="hr-HR"/>
        </w:rPr>
      </w:pPr>
    </w:p>
    <w:p w14:paraId="0348787C" w14:textId="0E42DAAE" w:rsidR="00192704" w:rsidRDefault="00192704" w:rsidP="00B0751F">
      <w:pPr>
        <w:jc w:val="both"/>
        <w:rPr>
          <w:rFonts w:cstheme="minorHAnsi"/>
          <w:lang w:val="hr-HR"/>
        </w:rPr>
      </w:pPr>
    </w:p>
    <w:p w14:paraId="35CC1071" w14:textId="58DDCEE0" w:rsidR="00192704" w:rsidRDefault="00192704" w:rsidP="00192704">
      <w:pPr>
        <w:jc w:val="center"/>
        <w:rPr>
          <w:rFonts w:cstheme="minorHAnsi"/>
          <w:lang w:val="hr-HR"/>
        </w:rPr>
      </w:pPr>
      <w:r>
        <w:rPr>
          <w:rFonts w:cstheme="minorHAnsi"/>
          <w:lang w:val="hr-HR"/>
        </w:rPr>
        <w:lastRenderedPageBreak/>
        <w:t>-3-</w:t>
      </w:r>
    </w:p>
    <w:p w14:paraId="50564B41" w14:textId="77777777" w:rsidR="00192704" w:rsidRPr="00D64498" w:rsidRDefault="00192704" w:rsidP="00192704">
      <w:pPr>
        <w:jc w:val="center"/>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4A1322">
      <w:pPr>
        <w:pStyle w:val="Odlomakpopisa"/>
        <w:numPr>
          <w:ilvl w:val="0"/>
          <w:numId w:val="12"/>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7774B6">
      <w:pPr>
        <w:pStyle w:val="Bezproreda"/>
        <w:rPr>
          <w:lang w:val="hr-HR"/>
        </w:rPr>
      </w:pPr>
    </w:p>
    <w:p w14:paraId="175C1831" w14:textId="5DE54BAA" w:rsidR="007774B6" w:rsidRDefault="007774B6" w:rsidP="007774B6">
      <w:pPr>
        <w:pStyle w:val="Bezproreda"/>
        <w:rPr>
          <w:lang w:val="hr-HR"/>
        </w:rPr>
      </w:pPr>
      <w:bookmarkStart w:id="2" w:name="_Hlk531613281"/>
      <w:r>
        <w:rPr>
          <w:bCs/>
          <w:color w:val="000000"/>
          <w:u w:color="000000"/>
        </w:rPr>
        <w:t xml:space="preserve">- </w:t>
      </w:r>
      <w:r w:rsidR="00A610EC" w:rsidRPr="007774B6">
        <w:rPr>
          <w:bCs/>
          <w:color w:val="000000"/>
          <w:u w:color="000000"/>
        </w:rPr>
        <w:t>Zakon o lokalnoj i područnoj (regionalnoj) samoupravi (“Narodne novine”, broj</w:t>
      </w:r>
      <w:r w:rsidR="000F2217" w:rsidRPr="007774B6">
        <w:rPr>
          <w:bCs/>
          <w:color w:val="000000"/>
          <w:u w:color="000000"/>
        </w:rPr>
        <w:t xml:space="preserve"> </w:t>
      </w:r>
      <w:bookmarkStart w:id="3" w:name="_Hlk531776808"/>
      <w:r w:rsidR="000F2217" w:rsidRPr="007774B6">
        <w:rPr>
          <w:lang w:val="hr-HR"/>
        </w:rPr>
        <w:t>33/01, 60/01-</w:t>
      </w:r>
      <w:r w:rsidR="00192704">
        <w:rPr>
          <w:lang w:val="hr-HR"/>
        </w:rPr>
        <w:t xml:space="preserve"> </w:t>
      </w:r>
      <w:r w:rsidR="000F2217" w:rsidRPr="007774B6">
        <w:rPr>
          <w:lang w:val="hr-HR"/>
        </w:rPr>
        <w:t>vjerodostojno tumačenje, 129/05, 109/07, 125/08, 36/09, 150/11, 144/12 i 19/13, 137/15</w:t>
      </w:r>
      <w:r w:rsidR="002F7A43" w:rsidRPr="007774B6">
        <w:rPr>
          <w:lang w:val="hr-HR"/>
        </w:rPr>
        <w:t>,</w:t>
      </w:r>
      <w:r w:rsidR="000F2217" w:rsidRPr="007774B6">
        <w:rPr>
          <w:lang w:val="hr-HR"/>
        </w:rPr>
        <w:t xml:space="preserve"> 123/17</w:t>
      </w:r>
      <w:bookmarkEnd w:id="3"/>
      <w:r w:rsidR="002F7A43" w:rsidRPr="007774B6">
        <w:rPr>
          <w:lang w:val="hr-HR"/>
        </w:rPr>
        <w:t xml:space="preserve">, </w:t>
      </w:r>
      <w:r w:rsidR="00562FBD" w:rsidRPr="007774B6">
        <w:rPr>
          <w:lang w:val="hr-HR"/>
        </w:rPr>
        <w:t>98/19</w:t>
      </w:r>
      <w:r w:rsidR="006045CE" w:rsidRPr="007774B6">
        <w:rPr>
          <w:lang w:val="hr-HR"/>
        </w:rPr>
        <w:t>, 144/20</w:t>
      </w:r>
      <w:r w:rsidR="000F2217" w:rsidRPr="007774B6">
        <w:rPr>
          <w:lang w:val="hr-HR"/>
        </w:rPr>
        <w:t>)</w:t>
      </w:r>
      <w:r w:rsidRPr="007774B6">
        <w:rPr>
          <w:lang w:val="hr-HR"/>
        </w:rPr>
        <w:t xml:space="preserve"> </w:t>
      </w:r>
    </w:p>
    <w:p w14:paraId="40949106" w14:textId="77777777" w:rsidR="00192704" w:rsidRDefault="00192704" w:rsidP="007774B6">
      <w:pPr>
        <w:pStyle w:val="Bezproreda"/>
        <w:rPr>
          <w:lang w:val="hr-HR"/>
        </w:rPr>
      </w:pPr>
    </w:p>
    <w:p w14:paraId="2002A316" w14:textId="0D09E1DD" w:rsidR="00192704" w:rsidRDefault="00192704" w:rsidP="00192704">
      <w:bookmarkStart w:id="4" w:name="_Hlk531613352"/>
      <w:bookmarkEnd w:id="2"/>
      <w:r>
        <w:t xml:space="preserve">- Zakon o proračunu (NN 144/21.) </w:t>
      </w:r>
    </w:p>
    <w:p w14:paraId="4F2A8B9D" w14:textId="77777777" w:rsidR="00192704" w:rsidRDefault="00192704" w:rsidP="00192704"/>
    <w:p w14:paraId="203747DB" w14:textId="65BE34E4" w:rsidR="00192704" w:rsidRDefault="00192704" w:rsidP="00192704">
      <w:r>
        <w:t xml:space="preserve">- Zakon o lokalnim porezima (NN 115/16., 101/17. i 114/22.) </w:t>
      </w:r>
    </w:p>
    <w:p w14:paraId="4CFFFB66" w14:textId="77777777" w:rsidR="00192704" w:rsidRDefault="00192704" w:rsidP="00192704"/>
    <w:p w14:paraId="03CC4D44" w14:textId="135C5977" w:rsidR="00192704" w:rsidRDefault="00192704" w:rsidP="00192704">
      <w:r>
        <w:t xml:space="preserve">- Zakon o financiranju jedinica lokalne i područne (regionalne) samouprave (NN 127/17., 138/20. i 151/22.) </w:t>
      </w:r>
    </w:p>
    <w:p w14:paraId="58E0E2CD" w14:textId="77777777" w:rsidR="00192704" w:rsidRDefault="00192704" w:rsidP="00192704"/>
    <w:p w14:paraId="4FBCDFBA" w14:textId="4669B1A2" w:rsidR="00192704" w:rsidRDefault="00192704" w:rsidP="00192704">
      <w:r>
        <w:t>- Zakon o fiskalnoj odgovornosti (NN 111/18. i 41/20.)</w:t>
      </w:r>
    </w:p>
    <w:p w14:paraId="5FD0618D" w14:textId="77777777" w:rsidR="00192704" w:rsidRDefault="00192704" w:rsidP="00192704"/>
    <w:p w14:paraId="1BDFBAFD" w14:textId="583B45EC" w:rsidR="00192704" w:rsidRDefault="00192704" w:rsidP="00192704">
      <w:r>
        <w:t xml:space="preserve"> - Pravilnik o polugodišnjem i godišnjem izvještaju o izvršenju proračuna (NN 24/13., 102/17., 1/20., 147/20. i 144/21.) </w:t>
      </w:r>
    </w:p>
    <w:p w14:paraId="74F6578E" w14:textId="77777777" w:rsidR="00192704" w:rsidRDefault="00192704" w:rsidP="00192704"/>
    <w:p w14:paraId="71153C45" w14:textId="1991DB53" w:rsidR="00192704" w:rsidRDefault="00192704" w:rsidP="00192704">
      <w:r>
        <w:t>- Pravilnik o financijskom izvještavanju u proračunskom računovodstvu (NN 37/22.)</w:t>
      </w:r>
    </w:p>
    <w:p w14:paraId="0B97C969" w14:textId="77777777" w:rsidR="00192704" w:rsidRDefault="00192704" w:rsidP="00192704"/>
    <w:p w14:paraId="56B62464" w14:textId="665B7289" w:rsidR="00192704" w:rsidRDefault="00192704" w:rsidP="00192704">
      <w:r>
        <w:t xml:space="preserve"> - Pravilnik o proračunskom računovodstvu i računskom planu (NN 124/14., 115/15., 87/16., 3/18., 126/19., 108/20. i 144/21.)</w:t>
      </w:r>
    </w:p>
    <w:p w14:paraId="69D11397" w14:textId="2989E736" w:rsidR="00D12003" w:rsidRDefault="00D12003" w:rsidP="007774B6">
      <w:pPr>
        <w:pStyle w:val="Bezproreda"/>
      </w:pPr>
    </w:p>
    <w:p w14:paraId="2A77C993" w14:textId="77777777" w:rsidR="00192704" w:rsidRPr="00D64498" w:rsidRDefault="00192704" w:rsidP="007774B6">
      <w:pPr>
        <w:pStyle w:val="Bezproreda"/>
      </w:pPr>
    </w:p>
    <w:bookmarkEnd w:id="4"/>
    <w:p w14:paraId="28A60C09" w14:textId="7D7E9D32" w:rsidR="007774B6" w:rsidRPr="007774B6" w:rsidRDefault="007774B6" w:rsidP="007774B6">
      <w:pPr>
        <w:pStyle w:val="Bezproreda"/>
        <w:rPr>
          <w:lang w:val="hr-HR"/>
        </w:rPr>
      </w:pPr>
      <w:r w:rsidRPr="007774B6">
        <w:rPr>
          <w:color w:val="000000"/>
          <w:u w:color="000000"/>
        </w:rPr>
        <w:t>Navedeni pravni izvori mogu se pronaći na internet stranici</w:t>
      </w:r>
      <w:r w:rsidRPr="007774B6">
        <w:rPr>
          <w:lang w:val="hr-HR"/>
        </w:rPr>
        <w:t xml:space="preserve">: </w:t>
      </w:r>
      <w:hyperlink r:id="rId5" w:history="1">
        <w:r w:rsidRPr="007774B6">
          <w:rPr>
            <w:rStyle w:val="Hiperveza"/>
            <w:rFonts w:cstheme="minorHAnsi"/>
            <w:lang w:val="hr-HR"/>
          </w:rPr>
          <w:t>www.nn.hr</w:t>
        </w:r>
      </w:hyperlink>
    </w:p>
    <w:sectPr w:rsidR="007774B6" w:rsidRPr="007774B6"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EAF7556"/>
    <w:multiLevelType w:val="hybridMultilevel"/>
    <w:tmpl w:val="52A6026E"/>
    <w:lvl w:ilvl="0" w:tplc="243C6112">
      <w:start w:val="1"/>
      <w:numFmt w:val="bullet"/>
      <w:lvlText w:val="-"/>
      <w:lvlJc w:val="left"/>
      <w:pPr>
        <w:ind w:left="1800" w:hanging="360"/>
      </w:pPr>
      <w:rPr>
        <w:rFonts w:ascii="Calibri" w:eastAsiaTheme="minorEastAsia" w:hAnsi="Calibri" w:cs="Calibri"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743901CA"/>
    <w:multiLevelType w:val="hybridMultilevel"/>
    <w:tmpl w:val="9DBE022A"/>
    <w:lvl w:ilvl="0" w:tplc="B55AD1C8">
      <w:start w:val="1"/>
      <w:numFmt w:val="decimal"/>
      <w:lvlText w:val="%1."/>
      <w:lvlJc w:val="left"/>
      <w:pPr>
        <w:ind w:left="1440" w:hanging="360"/>
      </w:pPr>
      <w:rPr>
        <w:rFonts w:asciiTheme="minorHAnsi" w:hAnsiTheme="minorHAnsi" w:cstheme="minorHAnsi"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8"/>
  </w:num>
  <w:num w:numId="2" w16cid:durableId="357705482">
    <w:abstractNumId w:val="12"/>
  </w:num>
  <w:num w:numId="3" w16cid:durableId="1663848189">
    <w:abstractNumId w:val="4"/>
  </w:num>
  <w:num w:numId="4" w16cid:durableId="229274733">
    <w:abstractNumId w:val="7"/>
  </w:num>
  <w:num w:numId="5" w16cid:durableId="1988127630">
    <w:abstractNumId w:val="0"/>
  </w:num>
  <w:num w:numId="6" w16cid:durableId="304165177">
    <w:abstractNumId w:val="6"/>
  </w:num>
  <w:num w:numId="7" w16cid:durableId="363597255">
    <w:abstractNumId w:val="3"/>
  </w:num>
  <w:num w:numId="8" w16cid:durableId="1159035175">
    <w:abstractNumId w:val="10"/>
  </w:num>
  <w:num w:numId="9" w16cid:durableId="657851814">
    <w:abstractNumId w:val="9"/>
  </w:num>
  <w:num w:numId="10" w16cid:durableId="905652344">
    <w:abstractNumId w:val="1"/>
  </w:num>
  <w:num w:numId="11" w16cid:durableId="392461542">
    <w:abstractNumId w:val="5"/>
  </w:num>
  <w:num w:numId="12" w16cid:durableId="682589040">
    <w:abstractNumId w:val="11"/>
  </w:num>
  <w:num w:numId="13" w16cid:durableId="738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92704"/>
    <w:rsid w:val="001A5E2F"/>
    <w:rsid w:val="001C7D8C"/>
    <w:rsid w:val="001D02B1"/>
    <w:rsid w:val="001E25D1"/>
    <w:rsid w:val="001E26A6"/>
    <w:rsid w:val="00200DB9"/>
    <w:rsid w:val="00206BBA"/>
    <w:rsid w:val="00222088"/>
    <w:rsid w:val="00246BED"/>
    <w:rsid w:val="00272F92"/>
    <w:rsid w:val="00277259"/>
    <w:rsid w:val="002855AE"/>
    <w:rsid w:val="002919ED"/>
    <w:rsid w:val="002A2C8C"/>
    <w:rsid w:val="002B1CDD"/>
    <w:rsid w:val="002B7A8A"/>
    <w:rsid w:val="002F7A43"/>
    <w:rsid w:val="00306A4E"/>
    <w:rsid w:val="00316F71"/>
    <w:rsid w:val="00331D68"/>
    <w:rsid w:val="003410E3"/>
    <w:rsid w:val="0034240C"/>
    <w:rsid w:val="003740C5"/>
    <w:rsid w:val="003744C2"/>
    <w:rsid w:val="003A71AF"/>
    <w:rsid w:val="003D431F"/>
    <w:rsid w:val="003D4850"/>
    <w:rsid w:val="003D6585"/>
    <w:rsid w:val="00444DA8"/>
    <w:rsid w:val="0048656E"/>
    <w:rsid w:val="004A1322"/>
    <w:rsid w:val="004E184D"/>
    <w:rsid w:val="004E4B99"/>
    <w:rsid w:val="004E4F3D"/>
    <w:rsid w:val="00502BC4"/>
    <w:rsid w:val="00505747"/>
    <w:rsid w:val="005074F6"/>
    <w:rsid w:val="00511823"/>
    <w:rsid w:val="00560185"/>
    <w:rsid w:val="00562FBD"/>
    <w:rsid w:val="005670B4"/>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774B6"/>
    <w:rsid w:val="00792763"/>
    <w:rsid w:val="007A1BD7"/>
    <w:rsid w:val="007B0750"/>
    <w:rsid w:val="007B413E"/>
    <w:rsid w:val="007C2499"/>
    <w:rsid w:val="007D710F"/>
    <w:rsid w:val="007E292B"/>
    <w:rsid w:val="007E4C90"/>
    <w:rsid w:val="007F40A6"/>
    <w:rsid w:val="00801303"/>
    <w:rsid w:val="00807DFF"/>
    <w:rsid w:val="00817BD7"/>
    <w:rsid w:val="0082174D"/>
    <w:rsid w:val="008260DB"/>
    <w:rsid w:val="008417D7"/>
    <w:rsid w:val="00843214"/>
    <w:rsid w:val="00845217"/>
    <w:rsid w:val="00851A8E"/>
    <w:rsid w:val="00851B4B"/>
    <w:rsid w:val="008605C7"/>
    <w:rsid w:val="0088365C"/>
    <w:rsid w:val="00895100"/>
    <w:rsid w:val="008B244C"/>
    <w:rsid w:val="008C2496"/>
    <w:rsid w:val="008C5B49"/>
    <w:rsid w:val="008D301E"/>
    <w:rsid w:val="008D4207"/>
    <w:rsid w:val="009152A0"/>
    <w:rsid w:val="009157A8"/>
    <w:rsid w:val="00921F78"/>
    <w:rsid w:val="00926269"/>
    <w:rsid w:val="00930237"/>
    <w:rsid w:val="00942AD9"/>
    <w:rsid w:val="00955896"/>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BC477C"/>
    <w:rsid w:val="00BF3C09"/>
    <w:rsid w:val="00C032C1"/>
    <w:rsid w:val="00C073E7"/>
    <w:rsid w:val="00C16DE4"/>
    <w:rsid w:val="00C22CE1"/>
    <w:rsid w:val="00C26BC3"/>
    <w:rsid w:val="00C27425"/>
    <w:rsid w:val="00C33883"/>
    <w:rsid w:val="00C55146"/>
    <w:rsid w:val="00C5785E"/>
    <w:rsid w:val="00C62CFC"/>
    <w:rsid w:val="00C76A1F"/>
    <w:rsid w:val="00CB5DA2"/>
    <w:rsid w:val="00CE7A0D"/>
    <w:rsid w:val="00D00189"/>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308D"/>
    <w:rsid w:val="00F04461"/>
    <w:rsid w:val="00F07E71"/>
    <w:rsid w:val="00F10EA0"/>
    <w:rsid w:val="00F10F5C"/>
    <w:rsid w:val="00F177D5"/>
    <w:rsid w:val="00F541F6"/>
    <w:rsid w:val="00F56E4F"/>
    <w:rsid w:val="00F71B2B"/>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 w:type="paragraph" w:styleId="StandardWeb">
    <w:name w:val="Normal (Web)"/>
    <w:basedOn w:val="Normal"/>
    <w:uiPriority w:val="99"/>
    <w:unhideWhenUsed/>
    <w:rsid w:val="008217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 w:id="18053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3</Pages>
  <Words>861</Words>
  <Characters>4914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202</cp:revision>
  <cp:lastPrinted>2020-07-21T12:34:00Z</cp:lastPrinted>
  <dcterms:created xsi:type="dcterms:W3CDTF">2015-06-01T10:28:00Z</dcterms:created>
  <dcterms:modified xsi:type="dcterms:W3CDTF">2023-03-30T06:34:00Z</dcterms:modified>
</cp:coreProperties>
</file>